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AI Data Readiness Assessment Tool</w:t>
      </w:r>
    </w:p>
    <w:p/>
    <w:p>
      <w:r>
        <w:t>This 10‑question diagnostic evaluates institutional readiness.</w:t>
      </w:r>
    </w:p>
    <w:p/>
    <w:p>
      <w:r>
        <w:t>Rate each question from 1 (low) to 5 (high):</w:t>
      </w:r>
    </w:p>
    <w:p>
      <w:r>
        <w:t>1. Data lineage is documented.</w:t>
      </w:r>
    </w:p>
    <w:p>
      <w:r>
        <w:t>2. Data quality is reliable and measurable.</w:t>
      </w:r>
    </w:p>
    <w:p>
      <w:r>
        <w:t>3. Integration patterns support real-time or near-real-time flow.</w:t>
      </w:r>
    </w:p>
    <w:p>
      <w:r>
        <w:t>4. Identity &amp; access management is consistent.</w:t>
      </w:r>
    </w:p>
    <w:p>
      <w:r>
        <w:t>5. Zero Trust principles are in place.</w:t>
      </w:r>
    </w:p>
    <w:p>
      <w:r>
        <w:t>6. Data governance roles are defined.</w:t>
      </w:r>
    </w:p>
    <w:p>
      <w:r>
        <w:t>7. Metadata standards exist and are used.</w:t>
      </w:r>
    </w:p>
    <w:p>
      <w:r>
        <w:t>8. Architecture supports model hosting/monitoring.</w:t>
      </w:r>
    </w:p>
    <w:p>
      <w:r>
        <w:t>9. Privacy and security review processes are consistent.</w:t>
      </w:r>
    </w:p>
    <w:p>
      <w:r>
        <w:t>10. Change management is mature.</w:t>
      </w:r>
    </w:p>
    <w:p/>
    <w:p>
      <w:r>
        <w:t>Total Score Interpretation:</w:t>
      </w:r>
    </w:p>
    <w:p>
      <w:r>
        <w:t>40–50: High readiness</w:t>
      </w:r>
    </w:p>
    <w:p>
      <w:r>
        <w:t>25–39: Partial readiness</w:t>
      </w:r>
    </w:p>
    <w:p>
      <w:r>
        <w:t>Below 25: Significant foundational work required.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